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1F52" w:rsidRDefault="008F1F52" w:rsidP="00111B80">
      <w:pPr>
        <w:spacing w:line="480" w:lineRule="auto"/>
        <w:ind w:firstLine="720"/>
        <w:rPr>
          <w:rFonts w:ascii="Times New Roman" w:hAnsi="Times New Roman" w:cs="Times New Roman"/>
          <w:b/>
          <w:sz w:val="24"/>
          <w:szCs w:val="24"/>
        </w:rPr>
      </w:pPr>
    </w:p>
    <w:p w:rsidR="008F1F52" w:rsidRDefault="008F1F52" w:rsidP="00111B80">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2 B</w:t>
      </w:r>
    </w:p>
    <w:p w:rsidR="008F1F52" w:rsidRDefault="008F1F52" w:rsidP="00111B80">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5 D</w:t>
      </w:r>
    </w:p>
    <w:p w:rsidR="008F1F52" w:rsidRDefault="008F1F52" w:rsidP="00111B80">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6 B</w:t>
      </w:r>
      <w:bookmarkStart w:id="0" w:name="_GoBack"/>
      <w:bookmarkEnd w:id="0"/>
    </w:p>
    <w:p w:rsidR="008F1F52" w:rsidRDefault="008F1F52" w:rsidP="00111B80">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12 B</w:t>
      </w:r>
    </w:p>
    <w:p w:rsidR="008F1F52" w:rsidRDefault="008F1F52" w:rsidP="00111B80">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17 D </w:t>
      </w:r>
    </w:p>
    <w:p w:rsidR="008F1F52" w:rsidRDefault="008F1F52" w:rsidP="00111B80">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Essay</w:t>
      </w:r>
    </w:p>
    <w:p w:rsidR="008A1593" w:rsidRPr="00111B80" w:rsidRDefault="008A1593" w:rsidP="00111B80">
      <w:pPr>
        <w:spacing w:line="480" w:lineRule="auto"/>
        <w:ind w:firstLine="720"/>
        <w:rPr>
          <w:rFonts w:ascii="Times New Roman" w:hAnsi="Times New Roman" w:cs="Times New Roman"/>
          <w:b/>
          <w:sz w:val="24"/>
          <w:szCs w:val="24"/>
        </w:rPr>
      </w:pPr>
      <w:r w:rsidRPr="00111B80">
        <w:rPr>
          <w:rFonts w:ascii="Times New Roman" w:hAnsi="Times New Roman" w:cs="Times New Roman"/>
          <w:b/>
          <w:sz w:val="24"/>
          <w:szCs w:val="24"/>
        </w:rPr>
        <w:t>Question 44</w:t>
      </w:r>
    </w:p>
    <w:p w:rsidR="00276DFD" w:rsidRPr="00111B80" w:rsidRDefault="008A1593" w:rsidP="00111B80">
      <w:pPr>
        <w:spacing w:line="480" w:lineRule="auto"/>
        <w:ind w:firstLine="720"/>
        <w:rPr>
          <w:rFonts w:ascii="Times New Roman" w:hAnsi="Times New Roman" w:cs="Times New Roman"/>
          <w:sz w:val="24"/>
          <w:szCs w:val="24"/>
        </w:rPr>
      </w:pPr>
      <w:r w:rsidRPr="00111B80">
        <w:rPr>
          <w:rFonts w:ascii="Times New Roman" w:hAnsi="Times New Roman" w:cs="Times New Roman"/>
          <w:sz w:val="24"/>
          <w:szCs w:val="24"/>
        </w:rPr>
        <w:t xml:space="preserve">a) “Organizational” effect of hormones in reproductive behavior refers to </w:t>
      </w:r>
      <w:r w:rsidR="00276DFD" w:rsidRPr="00111B80">
        <w:rPr>
          <w:rFonts w:ascii="Times New Roman" w:hAnsi="Times New Roman" w:cs="Times New Roman"/>
          <w:sz w:val="24"/>
          <w:szCs w:val="24"/>
        </w:rPr>
        <w:t>the ability of the hormones to determine the kind of behavior that will be elicited by the individual in question. To predict in some way by way of permanently setting in motion the preliminary sequences that will culminate in the actualization of the end event predicated by the hormone.  W</w:t>
      </w:r>
      <w:r w:rsidRPr="00111B80">
        <w:rPr>
          <w:rFonts w:ascii="Times New Roman" w:hAnsi="Times New Roman" w:cs="Times New Roman"/>
          <w:sz w:val="24"/>
          <w:szCs w:val="24"/>
        </w:rPr>
        <w:t xml:space="preserve">hile the “activational” effect </w:t>
      </w:r>
      <w:r w:rsidR="00276DFD" w:rsidRPr="00111B80">
        <w:rPr>
          <w:rFonts w:ascii="Times New Roman" w:hAnsi="Times New Roman" w:cs="Times New Roman"/>
          <w:sz w:val="24"/>
          <w:szCs w:val="24"/>
        </w:rPr>
        <w:t xml:space="preserve">refers to actually kick-starting the sequences of events, kind of giving a “start signal” that will see to the physical and tangible actualization of the event for which they had laid a roadmap for, for example, in term of permanently organizing the nervous system during early development, in addition to carefully modulating and at time inhibiting these behaviors. </w:t>
      </w:r>
    </w:p>
    <w:p w:rsidR="008A1593" w:rsidRPr="00111B80" w:rsidRDefault="00276DFD" w:rsidP="00111B80">
      <w:pPr>
        <w:spacing w:line="480" w:lineRule="auto"/>
        <w:ind w:firstLine="720"/>
        <w:rPr>
          <w:rFonts w:ascii="Times New Roman" w:hAnsi="Times New Roman" w:cs="Times New Roman"/>
          <w:sz w:val="24"/>
          <w:szCs w:val="24"/>
        </w:rPr>
      </w:pPr>
      <w:r w:rsidRPr="00111B80">
        <w:rPr>
          <w:rFonts w:ascii="Times New Roman" w:hAnsi="Times New Roman" w:cs="Times New Roman"/>
          <w:sz w:val="24"/>
          <w:szCs w:val="24"/>
        </w:rPr>
        <w:t xml:space="preserve">b)  The aromatization hypothesis of sexual differentiation of the brain and behavior is summarized as depicting the aromatization of testosterone to estradiol by neural tissue as classically regulating sexual differentiation, gonadotropin secretion, and copulatory behavior. </w:t>
      </w:r>
      <w:r w:rsidRPr="00111B80">
        <w:rPr>
          <w:rFonts w:ascii="Times New Roman" w:hAnsi="Times New Roman" w:cs="Times New Roman"/>
          <w:sz w:val="24"/>
          <w:szCs w:val="24"/>
        </w:rPr>
        <w:lastRenderedPageBreak/>
        <w:t xml:space="preserve">The androgens have been </w:t>
      </w:r>
      <w:r w:rsidR="00111B80" w:rsidRPr="00111B80">
        <w:rPr>
          <w:rFonts w:ascii="Times New Roman" w:hAnsi="Times New Roman" w:cs="Times New Roman"/>
          <w:sz w:val="24"/>
          <w:szCs w:val="24"/>
        </w:rPr>
        <w:t xml:space="preserve">shown to regulate aromatase activity, the enzyme required for the aromatization of testosterone to estradiol, implying that males have more of this enzyme and hence more of its enzymatic activity which within their brain regions. This means that males have a greater behavioral response as compared to females with regards to copulatory behavior since copulation requires aromatization of testosterone to estradiol. The evidence to support this claim is given by the observation that testosterone and or its estrogenic metabolites act on the developing brain to determine the gender-specific capacity for aromatization and also regulates the androgen responsiveness within components of neural circuitry that mediates male sexual behavior. </w:t>
      </w:r>
    </w:p>
    <w:p w:rsidR="00E42809" w:rsidRPr="00111B80" w:rsidRDefault="00E42809" w:rsidP="00111B80">
      <w:pPr>
        <w:spacing w:line="480" w:lineRule="auto"/>
        <w:ind w:firstLine="720"/>
        <w:rPr>
          <w:rFonts w:ascii="Times New Roman" w:hAnsi="Times New Roman" w:cs="Times New Roman"/>
          <w:b/>
          <w:sz w:val="24"/>
          <w:szCs w:val="24"/>
        </w:rPr>
      </w:pPr>
      <w:r w:rsidRPr="00111B80">
        <w:rPr>
          <w:rFonts w:ascii="Times New Roman" w:hAnsi="Times New Roman" w:cs="Times New Roman"/>
          <w:b/>
          <w:sz w:val="24"/>
          <w:szCs w:val="24"/>
        </w:rPr>
        <w:t>Question 45</w:t>
      </w:r>
    </w:p>
    <w:p w:rsidR="001949C2" w:rsidRPr="00111B80" w:rsidRDefault="00E42809" w:rsidP="00111B80">
      <w:pPr>
        <w:spacing w:line="480" w:lineRule="auto"/>
        <w:ind w:firstLine="720"/>
        <w:rPr>
          <w:rFonts w:ascii="Times New Roman" w:hAnsi="Times New Roman" w:cs="Times New Roman"/>
          <w:sz w:val="24"/>
          <w:szCs w:val="24"/>
        </w:rPr>
      </w:pPr>
      <w:r w:rsidRPr="00111B80">
        <w:rPr>
          <w:rFonts w:ascii="Times New Roman" w:hAnsi="Times New Roman" w:cs="Times New Roman"/>
          <w:sz w:val="24"/>
          <w:szCs w:val="24"/>
        </w:rPr>
        <w:t>The current knowledge of the neural structures controlling feeding behavior depicts the hypothalamus as the main part of the brain that is implicated in controlling feeding behavior.</w:t>
      </w:r>
      <w:r w:rsidR="008A1593" w:rsidRPr="00111B80">
        <w:rPr>
          <w:rFonts w:ascii="Times New Roman" w:hAnsi="Times New Roman" w:cs="Times New Roman"/>
          <w:sz w:val="24"/>
          <w:szCs w:val="24"/>
        </w:rPr>
        <w:t xml:space="preserve"> </w:t>
      </w:r>
      <w:r w:rsidRPr="00111B80">
        <w:rPr>
          <w:rFonts w:ascii="Times New Roman" w:hAnsi="Times New Roman" w:cs="Times New Roman"/>
          <w:sz w:val="24"/>
          <w:szCs w:val="24"/>
        </w:rPr>
        <w:t>The feeding behavior has been determined to be an extremely complex process that incorporates homeostatic need, hedonic pleasure, and higher cognitive processes, such as context and learned information. These processes have been determined to process the information</w:t>
      </w:r>
      <w:r w:rsidR="008A1593" w:rsidRPr="00111B80">
        <w:rPr>
          <w:rFonts w:ascii="Times New Roman" w:hAnsi="Times New Roman" w:cs="Times New Roman"/>
          <w:sz w:val="24"/>
          <w:szCs w:val="24"/>
        </w:rPr>
        <w:t xml:space="preserve"> transmit</w:t>
      </w:r>
      <w:r w:rsidR="00597AE3" w:rsidRPr="00111B80">
        <w:rPr>
          <w:rFonts w:ascii="Times New Roman" w:hAnsi="Times New Roman" w:cs="Times New Roman"/>
          <w:sz w:val="24"/>
          <w:szCs w:val="24"/>
        </w:rPr>
        <w:t xml:space="preserve">ted from the periphery, which reflects peripheral needs and the nature of food, and using this information to control feeding behavior. The feeding behavior is determined by the integration of external cues such as smell and taste, internal cues (reflecting the internal metabolic status and homeostatic needs such as nutrients and hormones), motivation, and experience. All these are processed in the Central Nervous System, with the hypothalamus being the go between the CNS and the peripheral neural input. The likes of smell and taste are important in sending cues to the CNS hence the neural pathways involved in these systems bearing a greater influence to feeding behavior. The hypothalamus is also the homeostatic control system of appetite that integrates </w:t>
      </w:r>
      <w:r w:rsidR="00597AE3" w:rsidRPr="00111B80">
        <w:rPr>
          <w:rFonts w:ascii="Times New Roman" w:hAnsi="Times New Roman" w:cs="Times New Roman"/>
          <w:sz w:val="24"/>
          <w:szCs w:val="24"/>
        </w:rPr>
        <w:lastRenderedPageBreak/>
        <w:t xml:space="preserve">energy information conveyed from the periphery and neural information from the NTS. In addition, the primary feeding center is located within the hypothalamus arcuate nucleus. </w:t>
      </w:r>
    </w:p>
    <w:p w:rsidR="00E42809" w:rsidRPr="00111B80" w:rsidRDefault="00E42809" w:rsidP="00111B80">
      <w:pPr>
        <w:spacing w:line="480" w:lineRule="auto"/>
        <w:ind w:firstLine="720"/>
        <w:rPr>
          <w:rFonts w:ascii="Times New Roman" w:hAnsi="Times New Roman" w:cs="Times New Roman"/>
          <w:sz w:val="24"/>
          <w:szCs w:val="24"/>
        </w:rPr>
      </w:pPr>
      <w:r w:rsidRPr="00111B80">
        <w:rPr>
          <w:rFonts w:ascii="Times New Roman" w:hAnsi="Times New Roman" w:cs="Times New Roman"/>
          <w:sz w:val="24"/>
          <w:szCs w:val="24"/>
        </w:rPr>
        <w:t xml:space="preserve">The different targets (current and potential) for weight management include the current weight-loss drug development that is targeting to reduce the absorption of lipids from the Gastro-Intestinal tract in addition to looking for ways to limit food intake, and the development of compounds that increase energy expenditure or reduce the size of the adipose tissue. The newer drug preparations include the combination of existing drugs such as topiramate with phentermine, bupropion plus naltrexone, and the selective serotonin (5-HT) 2c agonist Lorcaserin, which have been approved for use in the current medical set up in the treatment of obesity. </w:t>
      </w:r>
    </w:p>
    <w:p w:rsidR="00597AE3" w:rsidRPr="00111B80" w:rsidRDefault="00597AE3" w:rsidP="00111B80">
      <w:pPr>
        <w:spacing w:line="480" w:lineRule="auto"/>
        <w:ind w:firstLine="720"/>
        <w:rPr>
          <w:rFonts w:ascii="Times New Roman" w:hAnsi="Times New Roman" w:cs="Times New Roman"/>
          <w:b/>
          <w:sz w:val="24"/>
          <w:szCs w:val="24"/>
        </w:rPr>
      </w:pPr>
      <w:r w:rsidRPr="00111B80">
        <w:rPr>
          <w:rFonts w:ascii="Times New Roman" w:hAnsi="Times New Roman" w:cs="Times New Roman"/>
          <w:b/>
          <w:sz w:val="24"/>
          <w:szCs w:val="24"/>
        </w:rPr>
        <w:t>Question 46</w:t>
      </w:r>
    </w:p>
    <w:p w:rsidR="00597AE3" w:rsidRPr="00111B80" w:rsidRDefault="001B0D44" w:rsidP="00111B80">
      <w:pPr>
        <w:spacing w:line="480" w:lineRule="auto"/>
        <w:ind w:firstLine="720"/>
        <w:rPr>
          <w:rFonts w:ascii="Times New Roman" w:hAnsi="Times New Roman" w:cs="Times New Roman"/>
          <w:sz w:val="24"/>
          <w:szCs w:val="24"/>
        </w:rPr>
      </w:pPr>
      <w:r w:rsidRPr="00111B80">
        <w:rPr>
          <w:rFonts w:ascii="Times New Roman" w:hAnsi="Times New Roman" w:cs="Times New Roman"/>
          <w:sz w:val="24"/>
          <w:szCs w:val="24"/>
        </w:rPr>
        <w:t xml:space="preserve">a) </w:t>
      </w:r>
      <w:r w:rsidR="00597AE3" w:rsidRPr="00111B80">
        <w:rPr>
          <w:rFonts w:ascii="Times New Roman" w:hAnsi="Times New Roman" w:cs="Times New Roman"/>
          <w:sz w:val="24"/>
          <w:szCs w:val="24"/>
        </w:rPr>
        <w:t xml:space="preserve">The ways in which synapses may be remodeled to contribute to learning and memory storage include </w:t>
      </w:r>
      <w:r w:rsidR="0025686E" w:rsidRPr="00111B80">
        <w:rPr>
          <w:rFonts w:ascii="Times New Roman" w:hAnsi="Times New Roman" w:cs="Times New Roman"/>
          <w:sz w:val="24"/>
          <w:szCs w:val="24"/>
        </w:rPr>
        <w:t>the alternation of the number of neurotransmitter receptors located on a synapse such as by</w:t>
      </w:r>
      <w:r w:rsidRPr="00111B80">
        <w:rPr>
          <w:rFonts w:ascii="Times New Roman" w:hAnsi="Times New Roman" w:cs="Times New Roman"/>
          <w:sz w:val="24"/>
          <w:szCs w:val="24"/>
        </w:rPr>
        <w:t xml:space="preserve"> insertion or removal of post-synaptic AMPA receptors, </w:t>
      </w:r>
      <w:r w:rsidR="0025686E" w:rsidRPr="00111B80">
        <w:rPr>
          <w:rFonts w:ascii="Times New Roman" w:hAnsi="Times New Roman" w:cs="Times New Roman"/>
          <w:sz w:val="24"/>
          <w:szCs w:val="24"/>
        </w:rPr>
        <w:t>or changes in the quantity of the neurotransmitters released into a synapse so that they augment or reduce the effect of the impulse being conducted</w:t>
      </w:r>
      <w:r w:rsidR="007B19EA" w:rsidRPr="00111B80">
        <w:rPr>
          <w:rFonts w:ascii="Times New Roman" w:hAnsi="Times New Roman" w:cs="Times New Roman"/>
          <w:sz w:val="24"/>
          <w:szCs w:val="24"/>
        </w:rPr>
        <w:t>, for example changes in the probability of glutamate release</w:t>
      </w:r>
      <w:r w:rsidR="0025686E" w:rsidRPr="00111B80">
        <w:rPr>
          <w:rFonts w:ascii="Times New Roman" w:hAnsi="Times New Roman" w:cs="Times New Roman"/>
          <w:sz w:val="24"/>
          <w:szCs w:val="24"/>
        </w:rPr>
        <w:t xml:space="preserve">, or the changes in how effectively cells respond to those neurotransmitters which, for example, can be the </w:t>
      </w:r>
      <w:r w:rsidRPr="00111B80">
        <w:rPr>
          <w:rFonts w:ascii="Times New Roman" w:hAnsi="Times New Roman" w:cs="Times New Roman"/>
          <w:sz w:val="24"/>
          <w:szCs w:val="24"/>
        </w:rPr>
        <w:t xml:space="preserve">phosphorylation and de-phosphorylation inducing a change </w:t>
      </w:r>
      <w:r w:rsidR="0025686E" w:rsidRPr="00111B80">
        <w:rPr>
          <w:rFonts w:ascii="Times New Roman" w:hAnsi="Times New Roman" w:cs="Times New Roman"/>
          <w:sz w:val="24"/>
          <w:szCs w:val="24"/>
        </w:rPr>
        <w:t xml:space="preserve">in AMPA receptor conductance. </w:t>
      </w:r>
      <w:r w:rsidRPr="00111B80">
        <w:rPr>
          <w:rFonts w:ascii="Times New Roman" w:hAnsi="Times New Roman" w:cs="Times New Roman"/>
          <w:sz w:val="24"/>
          <w:szCs w:val="24"/>
        </w:rPr>
        <w:t xml:space="preserve"> </w:t>
      </w:r>
      <w:r w:rsidR="007B19EA" w:rsidRPr="00111B80">
        <w:rPr>
          <w:rFonts w:ascii="Times New Roman" w:hAnsi="Times New Roman" w:cs="Times New Roman"/>
          <w:sz w:val="24"/>
          <w:szCs w:val="24"/>
        </w:rPr>
        <w:t xml:space="preserve">Lastly, </w:t>
      </w:r>
      <w:r w:rsidR="006220DE" w:rsidRPr="00111B80">
        <w:rPr>
          <w:rFonts w:ascii="Times New Roman" w:hAnsi="Times New Roman" w:cs="Times New Roman"/>
          <w:sz w:val="24"/>
          <w:szCs w:val="24"/>
        </w:rPr>
        <w:t>is the biochemical mechanism of expressing the NMDA and AM</w:t>
      </w:r>
      <w:r w:rsidR="008A1593" w:rsidRPr="00111B80">
        <w:rPr>
          <w:rFonts w:ascii="Times New Roman" w:hAnsi="Times New Roman" w:cs="Times New Roman"/>
          <w:sz w:val="24"/>
          <w:szCs w:val="24"/>
        </w:rPr>
        <w:t xml:space="preserve">PA glutamate receptor whose </w:t>
      </w:r>
      <w:r w:rsidR="006220DE" w:rsidRPr="00111B80">
        <w:rPr>
          <w:rFonts w:ascii="Times New Roman" w:hAnsi="Times New Roman" w:cs="Times New Roman"/>
          <w:sz w:val="24"/>
          <w:szCs w:val="24"/>
        </w:rPr>
        <w:t xml:space="preserve">activity of which has </w:t>
      </w:r>
      <w:r w:rsidR="008A1593" w:rsidRPr="00111B80">
        <w:rPr>
          <w:rFonts w:ascii="Times New Roman" w:hAnsi="Times New Roman" w:cs="Times New Roman"/>
          <w:sz w:val="24"/>
          <w:szCs w:val="24"/>
        </w:rPr>
        <w:t xml:space="preserve">been </w:t>
      </w:r>
      <w:r w:rsidR="006220DE" w:rsidRPr="00111B80">
        <w:rPr>
          <w:rFonts w:ascii="Times New Roman" w:hAnsi="Times New Roman" w:cs="Times New Roman"/>
          <w:sz w:val="24"/>
          <w:szCs w:val="24"/>
        </w:rPr>
        <w:t xml:space="preserve">linked to synaptic plasticity. </w:t>
      </w:r>
    </w:p>
    <w:p w:rsidR="00597AE3" w:rsidRPr="00111B80" w:rsidRDefault="001B0D44" w:rsidP="00111B80">
      <w:pPr>
        <w:spacing w:line="480" w:lineRule="auto"/>
        <w:ind w:firstLine="720"/>
        <w:rPr>
          <w:rFonts w:ascii="Times New Roman" w:hAnsi="Times New Roman" w:cs="Times New Roman"/>
          <w:sz w:val="24"/>
          <w:szCs w:val="24"/>
        </w:rPr>
      </w:pPr>
      <w:r w:rsidRPr="00111B80">
        <w:rPr>
          <w:rFonts w:ascii="Times New Roman" w:hAnsi="Times New Roman" w:cs="Times New Roman"/>
          <w:sz w:val="24"/>
          <w:szCs w:val="24"/>
        </w:rPr>
        <w:t xml:space="preserve">b) </w:t>
      </w:r>
      <w:r w:rsidR="00597AE3" w:rsidRPr="00111B80">
        <w:rPr>
          <w:rFonts w:ascii="Times New Roman" w:hAnsi="Times New Roman" w:cs="Times New Roman"/>
          <w:sz w:val="24"/>
          <w:szCs w:val="24"/>
        </w:rPr>
        <w:t>Long-term-potentiation (LTP)</w:t>
      </w:r>
      <w:r w:rsidRPr="00111B80">
        <w:rPr>
          <w:rFonts w:ascii="Times New Roman" w:hAnsi="Times New Roman" w:cs="Times New Roman"/>
          <w:sz w:val="24"/>
          <w:szCs w:val="24"/>
        </w:rPr>
        <w:t xml:space="preserve"> refers to the process by which synaptic connections between neurons become stronger with the propensity to frequent activation. It is thought to be </w:t>
      </w:r>
      <w:r w:rsidRPr="00111B80">
        <w:rPr>
          <w:rFonts w:ascii="Times New Roman" w:hAnsi="Times New Roman" w:cs="Times New Roman"/>
          <w:sz w:val="24"/>
          <w:szCs w:val="24"/>
        </w:rPr>
        <w:lastRenderedPageBreak/>
        <w:t xml:space="preserve">the means by which the brain changes in response to experience and hence the mechanism that underlying learning and memory. </w:t>
      </w:r>
    </w:p>
    <w:p w:rsidR="001B0D44" w:rsidRPr="00111B80" w:rsidRDefault="001B0D44" w:rsidP="00111B80">
      <w:pPr>
        <w:spacing w:line="480" w:lineRule="auto"/>
        <w:ind w:firstLine="720"/>
        <w:rPr>
          <w:rFonts w:ascii="Times New Roman" w:hAnsi="Times New Roman" w:cs="Times New Roman"/>
          <w:sz w:val="24"/>
          <w:szCs w:val="24"/>
        </w:rPr>
      </w:pPr>
      <w:r w:rsidRPr="00111B80">
        <w:rPr>
          <w:rFonts w:ascii="Times New Roman" w:hAnsi="Times New Roman" w:cs="Times New Roman"/>
          <w:sz w:val="24"/>
          <w:szCs w:val="24"/>
        </w:rPr>
        <w:t xml:space="preserve">The role of glutamate neurotransmission (especially, AMPA and NMDA receptors) in this form of neural plasticity is that the occurrences of these receptors are thought to strengthen synaptic connections where they occur. This is especially true for the NMDA receptor. It is demonstrated that activating these receptors, by coincident activity of pre- and post-synaptic neuron, elicits both long-term-potentiation and long-term depression of synapses. </w:t>
      </w:r>
      <w:r w:rsidR="007B19EA" w:rsidRPr="00111B80">
        <w:rPr>
          <w:rFonts w:ascii="Times New Roman" w:hAnsi="Times New Roman" w:cs="Times New Roman"/>
          <w:sz w:val="24"/>
          <w:szCs w:val="24"/>
        </w:rPr>
        <w:t>Activation of the NMDA receptor, for example, opens up the NMDA channels (which relate to the level of cellular depolarization) leading to the rise in the post-synaptic calcium ions concentration which then leads to long-term Potentiation (LTP).</w:t>
      </w:r>
    </w:p>
    <w:p w:rsidR="001949C2" w:rsidRPr="00111B80" w:rsidRDefault="001949C2" w:rsidP="00111B80">
      <w:pPr>
        <w:spacing w:line="480" w:lineRule="auto"/>
        <w:ind w:firstLine="720"/>
        <w:rPr>
          <w:rFonts w:ascii="Times New Roman" w:hAnsi="Times New Roman" w:cs="Times New Roman"/>
          <w:b/>
          <w:sz w:val="24"/>
          <w:szCs w:val="24"/>
        </w:rPr>
      </w:pPr>
      <w:r w:rsidRPr="00111B80">
        <w:rPr>
          <w:rFonts w:ascii="Times New Roman" w:hAnsi="Times New Roman" w:cs="Times New Roman"/>
          <w:b/>
          <w:sz w:val="24"/>
          <w:szCs w:val="24"/>
        </w:rPr>
        <w:t>Question 47</w:t>
      </w:r>
    </w:p>
    <w:p w:rsidR="001949C2" w:rsidRPr="00111B80" w:rsidRDefault="001949C2" w:rsidP="00111B80">
      <w:pPr>
        <w:spacing w:line="480" w:lineRule="auto"/>
        <w:ind w:firstLine="720"/>
        <w:rPr>
          <w:rFonts w:ascii="Times New Roman" w:hAnsi="Times New Roman" w:cs="Times New Roman"/>
          <w:sz w:val="24"/>
          <w:szCs w:val="24"/>
        </w:rPr>
      </w:pPr>
      <w:r w:rsidRPr="00111B80">
        <w:rPr>
          <w:rFonts w:ascii="Times New Roman" w:hAnsi="Times New Roman" w:cs="Times New Roman"/>
          <w:sz w:val="24"/>
          <w:szCs w:val="24"/>
        </w:rPr>
        <w:t xml:space="preserve">Narcolepsy is a chronic sleep disorder that is characterized by too much daytime drowsiness and sudden attack of sleep. The exact cause of the disorder is not known although there are numerous proposed theses of what cause the disorder. These include, but are not limited to low levels of the chemical hypocretin. This is an essential neurotransmitter that helps the brain to regulate wakefulness and the rapid eye movement (REM) sleep. The exact cause of the low levels of the hormones are not known but it has been shown that patients who experience sudden loss of muscle tone, a characteristic feature in narcolepsy also have low levels of this neurotransmitter. The other hypothesis is the possible association with the swine flu (H1N1) and its recently produced vaccine administered in Europe. The symptoms of the disorder include excessive daytime sleepiness, sudden loss of muscle tone, sleep paralysis, changes in rapid eye movement (REM) sleep, and hallucinations. </w:t>
      </w:r>
    </w:p>
    <w:sectPr w:rsidR="001949C2" w:rsidRPr="00111B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36A8"/>
    <w:rsid w:val="00111B80"/>
    <w:rsid w:val="001949C2"/>
    <w:rsid w:val="001B0D44"/>
    <w:rsid w:val="0025686E"/>
    <w:rsid w:val="00276DFD"/>
    <w:rsid w:val="00597AE3"/>
    <w:rsid w:val="006220DE"/>
    <w:rsid w:val="00755226"/>
    <w:rsid w:val="007B19EA"/>
    <w:rsid w:val="008739D5"/>
    <w:rsid w:val="008A1593"/>
    <w:rsid w:val="008F1F52"/>
    <w:rsid w:val="00E42809"/>
    <w:rsid w:val="00E436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4</Pages>
  <Words>1001</Words>
  <Characters>5711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7</cp:revision>
  <dcterms:created xsi:type="dcterms:W3CDTF">2020-06-09T18:50:00Z</dcterms:created>
  <dcterms:modified xsi:type="dcterms:W3CDTF">2020-06-09T20:09:00Z</dcterms:modified>
</cp:coreProperties>
</file>